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9E" w:rsidRPr="00B57C6D" w:rsidRDefault="00F9499E" w:rsidP="00F9499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499E" w:rsidRPr="00B57C6D" w:rsidRDefault="00F9499E" w:rsidP="00F9499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ГОРОДИЩЕНСКИЙ СЕЛЬСКИЙ СОВЕТ ДЕПУТАТОВ </w:t>
      </w:r>
    </w:p>
    <w:p w:rsidR="00F9499E" w:rsidRPr="00B57C6D" w:rsidRDefault="00F9499E" w:rsidP="00F9499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:rsidR="00F9499E" w:rsidRPr="00B57C6D" w:rsidRDefault="00F9499E" w:rsidP="00F9499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F9499E" w:rsidRPr="00B57C6D" w:rsidRDefault="00F9499E" w:rsidP="00F9499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499E" w:rsidRPr="00B57C6D" w:rsidRDefault="00F9499E" w:rsidP="00F9499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9499E" w:rsidRPr="00B57C6D" w:rsidRDefault="00F9499E" w:rsidP="00F9499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499E" w:rsidRPr="00B57C6D" w:rsidRDefault="00F9499E" w:rsidP="00F9499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19.02.2021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  <w:t>с. Городище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57C6D" w:rsidRPr="00B57C6D">
        <w:rPr>
          <w:rFonts w:ascii="Arial" w:eastAsia="Times New Roman" w:hAnsi="Arial" w:cs="Arial"/>
          <w:sz w:val="24"/>
          <w:szCs w:val="24"/>
          <w:lang w:eastAsia="ru-RU"/>
        </w:rPr>
        <w:t>15-80-р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909" w:rsidRPr="00B57C6D" w:rsidRDefault="00286909" w:rsidP="00B57C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B57C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порядка заключения соглашений между Городищенским сельсоветом и Енисейским районом о передаче осуществления части полномочий по решению вопросов местного значения</w:t>
      </w:r>
    </w:p>
    <w:bookmarkEnd w:id="0"/>
    <w:p w:rsidR="00286909" w:rsidRPr="00B57C6D" w:rsidRDefault="00286909" w:rsidP="008B72F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6" w:tgtFrame="_blank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законом </w:t>
      </w:r>
      <w:hyperlink r:id="rId7" w:tgtFrame="_blank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hyperlink r:id="rId8" w:tgtFrame="_blank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Уставом Городищенского сельсовета Енисейского района Красноярского края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Городищенский сельский Совет депутатов </w:t>
      </w:r>
      <w:r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1.Утвердить Порядок заключения соглашений между Городищенским сельсоветом и Енисейским районом о передаче (приеме) осуществления части полномочий по решению вопросов местного значения согласно приложению к настоящему Решению.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Решения возложить на Главу Городищенского сельсовета.</w:t>
      </w:r>
    </w:p>
    <w:p w:rsidR="00180908" w:rsidRPr="00B57C6D" w:rsidRDefault="00286909" w:rsidP="00180908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официального </w:t>
      </w:r>
      <w:r w:rsidR="001B61F0"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опубликования </w:t>
      </w:r>
      <w:r w:rsidR="00180908" w:rsidRPr="00B57C6D">
        <w:rPr>
          <w:rFonts w:ascii="Arial" w:eastAsia="Times New Roman" w:hAnsi="Arial" w:cs="Arial"/>
          <w:sz w:val="24"/>
          <w:szCs w:val="24"/>
          <w:lang w:eastAsia="ru-RU"/>
        </w:rPr>
        <w:t>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99E" w:rsidRPr="00B57C6D" w:rsidRDefault="00F9499E" w:rsidP="00F949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7C6D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B57C6D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F9499E" w:rsidRPr="00B57C6D" w:rsidRDefault="00F9499E" w:rsidP="00F949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7C6D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F9499E" w:rsidRPr="00B57C6D" w:rsidRDefault="00F9499E" w:rsidP="00F949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499E" w:rsidRPr="00B57C6D" w:rsidRDefault="00F9499E" w:rsidP="00F949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7C6D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</w:r>
      <w:r w:rsidRPr="00B57C6D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p w:rsidR="00F9499E" w:rsidRPr="00B57C6D" w:rsidRDefault="00F9499E" w:rsidP="00F949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72F6" w:rsidRPr="00B57C6D" w:rsidRDefault="008B72F6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909" w:rsidRPr="00B57C6D" w:rsidRDefault="00286909" w:rsidP="00104E07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</w:p>
    <w:p w:rsidR="00286909" w:rsidRPr="00B57C6D" w:rsidRDefault="00286909" w:rsidP="00104E07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Городищенского сельского</w:t>
      </w:r>
    </w:p>
    <w:p w:rsidR="00286909" w:rsidRPr="00B57C6D" w:rsidRDefault="00286909" w:rsidP="00104E07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286909" w:rsidRPr="00B57C6D" w:rsidRDefault="00286909" w:rsidP="00104E07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>19.02.2021 № 15-80-р</w:t>
      </w:r>
    </w:p>
    <w:p w:rsidR="008B72F6" w:rsidRPr="00B57C6D" w:rsidRDefault="008B72F6" w:rsidP="008B72F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ar30"/>
      <w:bookmarkEnd w:id="1"/>
    </w:p>
    <w:p w:rsidR="008B72F6" w:rsidRPr="00B57C6D" w:rsidRDefault="008B72F6" w:rsidP="008B72F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2F6" w:rsidRPr="00B57C6D" w:rsidRDefault="00286909" w:rsidP="008B72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286909" w:rsidRPr="00B57C6D" w:rsidRDefault="00286909" w:rsidP="008B72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заключения соглашений между Городищенским сельсоветом и Енисейским районом о передаче (приеме) осуществления части полномочий по решению вопросов местного значения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909" w:rsidRPr="00B57C6D" w:rsidRDefault="00286909" w:rsidP="008B72F6">
      <w:pPr>
        <w:numPr>
          <w:ilvl w:val="0"/>
          <w:numId w:val="1"/>
        </w:numPr>
        <w:spacing w:after="0" w:line="240" w:lineRule="auto"/>
        <w:ind w:left="917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1.1.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Бюджетным </w:t>
      </w:r>
      <w:hyperlink r:id="rId9" w:tgtFrame="_blank" w:history="1">
        <w:r w:rsidRPr="00B57C6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кодексом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B57C6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Городищенского сельсовета Енисейского района Красноярского края и устанавливает процедуру заключения органами местного самоуправления Городищенского сельсовета Енисейского района (далее - поселение) соглашений с органами местного самоуправления Енисейского района Красноярского края (далее - муниципальный район), о передаче (приеме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>) осуществления части полномочий (далее полномочий) по решению вопросов местного значения (далее соглашение о передаче (приеме) полномочий), а также внесения изменений в указанные соглашения.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1.2.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полномочий за счет межбюджетных трансфертов, предоставляемых из бюджета поселения в бюджет муниципального района в соответствии с Бюджетным </w:t>
      </w:r>
      <w:hyperlink r:id="rId12" w:tgtFrame="_blank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</w:t>
      </w:r>
      <w:hyperlink r:id="rId13" w:anchor="Par112" w:history="1">
        <w:r w:rsidRPr="00B57C6D">
          <w:rPr>
            <w:rFonts w:ascii="Arial" w:eastAsia="Times New Roman" w:hAnsi="Arial" w:cs="Arial"/>
            <w:b/>
            <w:sz w:val="24"/>
            <w:szCs w:val="24"/>
            <w:u w:val="single"/>
            <w:lang w:eastAsia="ru-RU"/>
          </w:rPr>
          <w:t xml:space="preserve">(приложение </w:t>
        </w:r>
        <w:r w:rsidR="009C7F41" w:rsidRPr="00B57C6D">
          <w:rPr>
            <w:rFonts w:ascii="Arial" w:eastAsia="Times New Roman" w:hAnsi="Arial" w:cs="Arial"/>
            <w:b/>
            <w:sz w:val="24"/>
            <w:szCs w:val="24"/>
            <w:u w:val="single"/>
            <w:lang w:eastAsia="ru-RU"/>
          </w:rPr>
          <w:t>2</w:t>
        </w:r>
        <w:r w:rsidRPr="00B57C6D">
          <w:rPr>
            <w:rFonts w:ascii="Arial" w:eastAsia="Times New Roman" w:hAnsi="Arial" w:cs="Arial"/>
            <w:b/>
            <w:sz w:val="24"/>
            <w:szCs w:val="24"/>
            <w:u w:val="single"/>
            <w:lang w:eastAsia="ru-RU"/>
          </w:rPr>
          <w:t xml:space="preserve"> к порядку)</w:t>
        </w:r>
      </w:hyperlink>
      <w:r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В этом случае полномочия по решению вопросов местного значения поселения осуществляются органами местного самоуправления муниципального района в соответствии с действующим законодательством и соглашениями о передаче (приеме) полномочий.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1.3. Органы местного самоуправления поселения вправе заключать соглашения с органами местного самоуправления района о приеме от них осуществления полномочий за счет межбюджетных трансфертов, предоставляемых из бюджета муниципального района в бюджет поселения в соответствии с Бюджетным </w:t>
      </w:r>
      <w:hyperlink r:id="rId14" w:tgtFrame="_blank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</w:t>
      </w:r>
      <w:r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(приложение </w:t>
      </w:r>
      <w:r w:rsidR="009C7F41"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порядку). 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В этом случае полномочия по решению вопросов местного муниципального района, с органами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которого заключены указанные соглашения, осуществляются органами местного самоуправления поселения в соответствии с действующим законодательством и соглашениями о передаче (приеме) полномочий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1.4. Для осуществления полномочий по решению вопросов местного значения, переданных (принятых) в соответствии с заключенными соглашениями, органы местного самоуправления поселения и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правовыми актами представительных органов муниципального района и поселения.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909" w:rsidRPr="00B57C6D" w:rsidRDefault="00286909" w:rsidP="000B0E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Компетенция органов местного самоуправления поселения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2.1.Городищенский сельский Совет депутатов: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2.1.1. устанавливает порядок определения объема иных межбюджетных трансфертов, необходимых для осуществления передаваемых полномочий по решению вопросов местного значения</w:t>
      </w:r>
      <w:r w:rsidR="009C1A61"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принимает решение о передаче осуществления полномочий по решению вопросов местного значения поселения органам местного самоуправления района;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принимает решение о приеме органами местного самоуправления поселения осуществления полномочий по решению вопросов местного значения района;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2.1.2. контролирует выполнение принятых решений.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Администрация Городищенского сельсовета (далее - администрация поселения):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2.2.1. инициирует передачу (принятие) осуществления полномочий по решению вопросов местного значения;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2.2.2. производит расчет иных межбюджетных трансфертов, необходимых для осуществления передаваемых полномочий по решению вопросов местного значения</w:t>
      </w:r>
      <w:r w:rsidR="009C1A61"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1A61"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>(приложение 3 к порядку)</w:t>
      </w:r>
      <w:r w:rsidRPr="00B57C6D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2.2.3. готовит заключение о целесообразности (нецелесообразности) передачи (принятия) органами местного самоуправления поселения осуществления полномочий по решению вопросов местного значения;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2.2.4. готовит проект решения Городищенского сельского Совета депутатов о передаче (приеме) органами местного самоуправления поселения осуществления полномочий по решению вопросов местного значения;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2.2.5. представляет на рассмотрение Городищенского сельского Совета депутатов проект решения о передаче (приеме) органами местного самоуправления поселения осуществления полномочий по решению вопросов местного значения;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2.2.6. заключает соглашение о передаче (приеме) полномочий и направляет его на официальное опубликование;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2.2.7. принимает правовые акты по вопросам осуществления поселением принятых (переданных) полномочий района, если иное не предусмотрено соглашением о приеме (передаче) осуществления полномочий по решению вопросов местного значения;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2.2.8. исполняет заключенные соглашения о передаче (приеме) органами местного самоуправления поселения осуществления полномочий по решению вопросов местного значения.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909" w:rsidRPr="00B57C6D" w:rsidRDefault="00286909" w:rsidP="000B0EB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Заключение соглашений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52"/>
      <w:bookmarkEnd w:id="2"/>
      <w:r w:rsidRPr="00B57C6D">
        <w:rPr>
          <w:rFonts w:ascii="Arial" w:eastAsia="Times New Roman" w:hAnsi="Arial" w:cs="Arial"/>
          <w:sz w:val="24"/>
          <w:szCs w:val="24"/>
          <w:lang w:eastAsia="ru-RU"/>
        </w:rPr>
        <w:t>3.1. Необходимым условием для заключения соглашения о передаче (приеме) полномочий является принятие Городищенским сельским Советом депутатов решения о передаче (приеме) полномочий по решению вопросов местного значения, а также принятие представительным органом муниципального района решения о передаче (приеме) полномочий по решению вопросов местного значения.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3.2. Вынесению вопроса о передаче (приеме) части полномочий по решению вопросов местного значения на рассмотрение представительными органами района и поселения должно предшествовать определение администрацией Енисейского района совместно с администрацией поселения существенных условий соглашения.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3.3. Существенными условиями соглашения являются: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полномочия, которые предполагается передать (принять);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срок, на который заключается соглашение;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основания и порядок прекращения действия соглашения, в том числе досрочного;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финансовые санкции за их неисполнение.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3.4. По результатам рассмотрения Городищенским сельским Советом депутатов и представительным органом района вопроса о передаче (приеме) части полномочий по решению вопросов местного значения в администрацию поселения направляется: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3.4.1. заверенная копия решения Городищенского сельского Совета депутатов о передаче (приеме) полномочий - в случае принятия такого решения;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3.4.2. заверенная копия решения представительного органа района о передаче (приеме) полномочий - в случае принятия такого решения;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3.4.3. заверенная выписка из протокола заседания сессии Городищенского сельского Совета депутатов - в случае непринятия такого решения;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3.4.4. заверенная выписка из протокола заседания представительного органа района - в случае непринятия такого решения.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3.5. Для администрации поселения принятые Городищенским сельским Советом депутатов решения о передаче (приеме) полномочий являются основанием для подготовки совместно с администрацией района соглашения о передаче (приеме) полномочий.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3.6. Заключение между администрацией поселения и администрацией района соглашения о передаче (приеме) полномочий на условиях, отличных от принятых решением Городищенского сельского Совета депутатов не допускается.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3.7. Передача осуществления полномочий по вопросам местного значения может осуществляться на финансовый год в случае, если решение о бюджете поселения утверждается на один финансовый год, либо на финансовый год и плановый период, если решение о бюджете поселения утверждается на очередной финансовый год и плановый период.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3.8. Финансовые средства, необходимые для исполнения переданных полномочий поселения по решению вопросов местного значения, предоставляются в форме иных межбюджетных трансфертов из бюджета поселения в бюджет района, ежегодный объем которых устанавливается в соответствии с методикой определения иных межбюджетных трансфертов. Расчет предоставляемых межбюджетных трансфертов осуществляется отдельно по каждому переданному полномочию поселения. В случае нецелевого использования межбюджетных трансфертов, предоставленных в бюджет района для исполнения переданных полномочий поселения, они подлежат возврату в бюджет поселения.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3.9. Финансовые средства, необходимые для исполнения принятых полномочий района по решению вопросов местного значения, должны предоставляться в форме межбюджетных трансфертов из бюджета района в бюджет поселения, ежегодный объем которых устанавливается в соответствии с методикой определения иных межбюджетных трансфертов, утвержденной представительным органом района. Расчет предоставляемых межбюджетных трансфертов осуществляется отдельно по каждому принятому полномочию района. В случае нецелевого использования межбюджетных трансфертов, предоставленных в бюджет поселения для исполнения принятых полномочий района, они подлежат возврату в бюджет муниципального района.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3.10. Расчет объема иных межбюджетных трансфертов осуществляет сторона, передающая полномочие. Расчет осуществляется в валюте Российской Федерации с одним десятичным знаком после запятой по методике определения иных межбюджетных трансфертов.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3.11. Перечень подлежащего передаче в пользование и (или) управление, либо в собственность имущества, необходимого для осуществления отдельных полномочий, также определяется Соглашением и оформляется договором.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76"/>
      <w:bookmarkEnd w:id="3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3.12.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переданных полномочий обеспечивается путем получения отчетов об осуществлении переданных полномочий по решению вопросов местного значения, а также об использовании переданных для их осуществления финансовых средств и материальных ресурсов.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переданных материальных и финансовых ресурсов осуществляется Контрольно-счетным органом Енисейского района (по согласованию).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 сохранностью муниципального имущества осуществляется администрацией поселения.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3.13. Соглашения о передаче (приеме) полномочий вступают в силу и становятся обязательными для органов местного самоуправления поселения и района с даты их официального опубликования, подлежат регистрации в отделе информационного, правового и кадрового обеспечения администрации Енисейского района, после регистрации копия соглашения одновременно с копией решения, направляются в финансовый орган.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3.14. Соглашения о передаче (приеме) полномочий прекращают свое действие с момента истечения срока, на который они были заключены.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3.15. Изменения в соглашение, а также расторжение соглашений о передаче (приеме) полномочий оформляются дополнительным соглашением, которое также подлежит регистрации в отделе информационного, правового и кадрового обеспечения администрации Енисейского района. Копия дополнительного соглашения после регистрации предоставляется в финансовый орган. 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3.16. В дополнительном соглашении о расторжении соглашения о передаче (приеме) полномочий в обязательном порядке указываются: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полномочия, которые передавались (принимались);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срок, с которого расторгается соглашение;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объем возвращаемых межбюджетных трансфертов;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размер финансовых санкций за неисполнение соглашения.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3.17. Заключение соглашений о передаче (приеме) полномочий на новый срок осуществляется в порядке, определенном </w:t>
      </w:r>
      <w:hyperlink r:id="rId15" w:anchor="Par52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пунктами 3.1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- 3</w:t>
      </w:r>
      <w:hyperlink r:id="rId16" w:anchor="Par76" w:history="1"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.14</w:t>
        </w:r>
      </w:hyperlink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D53" w:rsidRPr="00B57C6D" w:rsidRDefault="00556D53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D53" w:rsidRPr="00B57C6D" w:rsidRDefault="00556D53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D53" w:rsidRPr="00B57C6D" w:rsidRDefault="00556D53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D53" w:rsidRPr="00B57C6D" w:rsidRDefault="00556D53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D53" w:rsidRPr="00B57C6D" w:rsidRDefault="00556D53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D53" w:rsidRPr="00B57C6D" w:rsidRDefault="00556D53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D53" w:rsidRPr="00B57C6D" w:rsidRDefault="00556D53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EB8" w:rsidRPr="00B57C6D" w:rsidRDefault="000B0EB8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104E07" w:rsidP="008B72F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заключения Соглашений о передаче/принятии осуществления части полномочий 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решению вопросов местного значения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BF1" w:rsidRPr="00B57C6D" w:rsidRDefault="00AD6BF1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О ПЕРЕДАЧЕ МУНИЦИПАЛЬНЫМ РАЙОНОМ ОСУЩЕСТВЛЕНИЯ ЧАСТИ ПОЛНОМОЧИЙ ПО РЕШЕНИЮ ВОПРОСОВ МЕСТНОГО ЗНАЧЕНИЯ ПОСЕЛЕНИЮ.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№ ________________/________________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(регистрационные номера соглашения)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                       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 20__ г.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   (место составления акта)                              (дата регистрации соглашения)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Енисейский район Красноярского края, именуемое в дальнейшем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Муниципальный район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в лице  _____________ ___________________________________________________действующего на основании Устава Енисейского района, с одной стороны, и _________________________ (полное наименование органа местного самоуправления поселения), именуемая в дальнейшем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в лице главы муниципального образования ______________ (наименование поселения) ___________ (Ф.И.О.), действующего на основании Устава муниципального образования (наименование поселения), с другой стороны, вместе именуемые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, руководствуясь пунктом 4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2003 г</w:t>
        </w:r>
      </w:smartTag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. № 131-ФЗ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, Уставом ___________ района, Уставом муниципального образования ______________________________________(наименование поселения), в целях____________________________________________________ заключили настоящее Соглашение о нижеследующем: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1.1. Настоящее Соглашение закрепляет передачу Поселению осуществления части полномочий по вопросу местного значения муниципального района.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1.2. Муниципальный район передает Поселению осуществление части полномочий по вопросу местного значения муниципального района, закрепленного ____________________________________________________________________, а именно: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1.2.1. ___________________________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1.2.2. ___________________________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1.2.3. ___________________________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 ПОРЯДОК ОПРЕДЕЛЕНИЯ ЕЖЕГОДНОГО ОБЪЕМА ИНЫХ МЕЖБЮДЖЕТНЫХ ТРАНСФЕРТОВ И ПЕРЕДАЧИ ИМУЩЕСТВА.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2.1. Передача осуществления части полномочий по предмету настоящего Соглашения осуществляется за счет  иных межбюджетных трансфертов, предоставляемых из  районного бюджета в бюджет __________ поселения.</w:t>
      </w:r>
    </w:p>
    <w:p w:rsidR="008B72F6" w:rsidRPr="00B57C6D" w:rsidRDefault="008B72F6" w:rsidP="008B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2.2. Стороны определяют объем иных межбюджетных трансфертов, необходимых для осуществления передаваемых полномочий на финансовый год в случае,   если  решение  о  районном  бюджете утверждается на один финансовый год,  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либо  на  финансовый  год  и плановый  период,  если    решение   о  районном  бюджете   утверждается   на  очередной   финансовый  год  и  плановый  период.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Расчет объема иных межбюджетных трансфертов производится по _________варианту.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Расчет объема иных межбюджетных трансфертов является приложением к Соглашению.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Расчет осуществляется  в валюте Российской Федерации с одним десятичным знаком после запятой.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2.3. Формирование, перечисление и учет иных межбюджетных трансфертов, предоставляемых из районного бюджета _________ бюджету _________ поселения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2.4.Передача  имущества, необходимого для осуществления передаваемых полномочий, оформляется договором на передачу имущества между органами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 и является приложением к Соглашению.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 ПРАВА И ОБЯЗАННОСТИ СТОРОН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3.1. Муниципальный район: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3.1.1. Перечисляет Поселению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3.1.2. Осуществляет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3.1.3. Муниципальный район вправе осуществлять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надлежащим использованием предоставленного имущества.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3.2. Поселение: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3.2.1. Осуществляет переданные Муниципальным районом полномочия в соответствии с пунктом 1.2 настоящего Соглашения и действующим законодательством в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выделенных на эти цели финансовых и материальных ресурсов.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3.2.2. Рассматривает представленные Муниципальным районом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Муниципальному району.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3.2.3. Ежеквартально, не позднее ___ числа, следующего за отчетным периодом, представляет Муниципальному району отчет об использовании финансовых средств.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3.3. В случае невозможности надлежащего исполнения переданных полномочий Поселение сообщает об этом в письменной форме Муниципальному району (указать срок сообщения). Муниципальный район рассматривает такое сообщение в течение (указать срок рассмотрения) с момента его поступления.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4. ОТВЕТСТВЕННОСТЬ СТОРОН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4.1. Установление факта ненадлежащего осуществления Поселением переданных полномочий является основанием для одностороннего расторжения данного Соглашения.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_____ срок (указать срок возврата) с момента подписания соглашения о расторжении или получения письменного уведомления о расторжении Соглашения, а также уплату неустойки в размере _____% от суммы иных межбюджетных трансфертов за отчетный год, выделяемых  бюджету поселения на осуществление указанных полномочий.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возврату имущество, переданное для осуществления полномочий, в _____ срок с момента расторжения Соглашения.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4.2. Поселение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4.3. В случае неисполнения Муниципальным районом вытекающих из настоящего Соглашения обязательств по обеспечению материальными и финансовыми ресурсами  переданных полномочий, Поселение  вправе требовать расторжения данного Соглашения, уплаты неустойки в размере ______%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 СРОК ДЕЙСТВИЯ, ОСНОВАНИЯ И ПОРЯДОК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ПРЕКРАЩЕНИЯ ДЕЙСТВИЯ СОГЛАШЕНИЯ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5.1. Настоящее Соглашение вступает в силу с ___________ 20__ г.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5.2. Срок действия настоящего Соглашения устанавливается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5.3. Действие настоящего Соглашения может быть прекращено досрочно: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5.3.1. По соглашению Сторон.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5.3.2. В одностороннем порядке в случае: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второй стороне не менее чем за _____ (указать срок уведомления, например, 6 месяцев), при этом второй стороне возмещаются все убытки, связанные с досрочным расторжением Соглашения.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 ЗАКЛЮЧИТЕЛЬНЫЕ ПОЛОЖЕНИЯ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РЕКВИЗИТЫ И ПОДПИСИ СТОРОН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район                                Поселение:          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 _______________                  Глава ____________________                               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______________/_______________              ______________/______________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 (расшифровка подписи)    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подпись)         (расшифровка подписи)</w:t>
      </w:r>
    </w:p>
    <w:p w:rsidR="008B72F6" w:rsidRPr="00B57C6D" w:rsidRDefault="008B72F6" w:rsidP="008B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Приложение  2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к Порядку заключения Соглашений о передаче/принятии осуществления части полномочий по решению вопросов местного значения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О ПЕРЕДАЧЕ ПОСЕЛЕНИЕМ ОСУЩЕСТВЛЕНИЯ ЧАСТИ ПОЛНОМОЧИЙ ПО РЕШЕНИЮ ВОПРОСОВ МЕСТНОГО ЗНАЧЕНИЯ МУНИЦИПАЛЬНОМУ РАЙОНУ.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№ _______________/_________________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(регистрационные номера соглашения)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                     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 20__ г.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(место составления акта)                          (дата регистрации соглашения)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 (полное наименование органа местного самоуправления поселения), именуемый (</w:t>
      </w:r>
      <w:proofErr w:type="spell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) в дальнейшем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в лице главы _______________________ (наименование поселения) ____________________ (Ф.И.О.), действующего на основании Устава (наименование поселения), с одной стороны, и Муниципальное образование Енисейский район Красноярского края, именуемое в дальнейшем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Муниципальный район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,  в лице _______________________________________________, действующего на основа</w:t>
      </w:r>
      <w:r w:rsidR="000B0EB8" w:rsidRPr="00B57C6D">
        <w:rPr>
          <w:rFonts w:ascii="Arial" w:eastAsia="Times New Roman" w:hAnsi="Arial" w:cs="Arial"/>
          <w:sz w:val="24"/>
          <w:szCs w:val="24"/>
          <w:lang w:eastAsia="ru-RU"/>
        </w:rPr>
        <w:t>нии Устава ____________________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, с другой стороны, вместе именуемые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, руководствуясь пунктом 4 статьи 15 Федерального закона от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B57C6D">
          <w:rPr>
            <w:rFonts w:ascii="Arial" w:eastAsia="Times New Roman" w:hAnsi="Arial" w:cs="Arial"/>
            <w:sz w:val="24"/>
            <w:szCs w:val="24"/>
            <w:lang w:eastAsia="ru-RU"/>
          </w:rPr>
          <w:t>2003 г</w:t>
        </w:r>
      </w:smartTag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. № 131-ФЗ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федеральный закон 131-ФЗ), Уставом ______________________ (наименование поселения), Уставом _________________ (наименование муниципального района), в целях_____________________________________________________________ заключили настоящее Соглашение о нижеследующем: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_____________ (наименование поселения)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1.2. Поселение передает Муниципальному району осуществление части полномочий по вопросу местного значения поселения,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закрепленного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 а именно: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1.2.1. ___________________________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1.2.2. ___________________________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1.2.3. ___________________________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 ПОРЯДОК ОПРЕДЕЛЕНИЯ ЕЖЕГОДНОГО ОБЪЕМА ИНЫХ МЕЖБЮДЖЕТНЫХ ТРАНСФЕРТОВ И ПЕРЕДАЧИ ИМУЩЕСТВА.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_____________ (наименование поселения) в районный бюджет.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2.2. Стороны определяют объем иных межбюджетных трансфертов, необходимых для осуществления передаваемых полномочий,</w:t>
      </w:r>
    </w:p>
    <w:p w:rsidR="008B72F6" w:rsidRPr="00B57C6D" w:rsidRDefault="00DC2F0A" w:rsidP="008B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финансовый год в случае, если решение о районном 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>бюджете утверж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дается на один финансовый год, либо на финансовый год и плановый период, если решение о  районном  бюджете утверждается на очередной финансовый год  и 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>плановый  период.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Расчет объема иных межбюджетных трансфертов производится по _________варианту.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Расчет объема иных межбюджетных трансфертов является приложением к Соглашению.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Расчет осуществляется  в валюте Российской Федерации с одним десятичным знаком после запятой.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2.3. Формирование, перечисление и учет иных межбюджетных трансфертов, предоставляемых из бюджета ___________ (наименование поселения) районному бюджету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2.4. Передача  имущества, необходимого для осуществления передаваемых полномочий, оформляется договором между органами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 ПРАВА И ОБЯЗАННОСТИ СТОРОН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3.1. Поселение: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3.1.1. Перечисляет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3.1.2. Осуществляет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3.1.3. Поселения вправе осуществлять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надлежащим использованием предоставленного имущества.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3.2. Муниципальный район: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3.2.1. Осуществляет переданные полномочия в соответствии с пунктом 1.2 настоящего Соглашения и действующим законодательством в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выделенных на эти цели финансовых и материальных ресурсов.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3.2.3. Ежеквартально, не позднее _____ числа, следующего за отчетным периодом, представляет Поселению отчет об использовании финансовых сре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>я исполнения переданных по настоящему Соглашению полномочий.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(указать срок сообщения). Поселение рассматривает такое сообщение в течение (указать срок рассмотрения) с момента его поступления.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4. ОТВЕТСТВЕННОСТЬ СТОРОН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4.1.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срок _________ (указать срок возврата) с момента подписания Соглашения о расторжении или получения письменного уведомления о расторжении Соглашения, а также уплату неустойки в размере ___%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возврату имущество, переданное для осуществления полномочий, в _____ срок с момента расторжения Соглашения.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4.3. В случае неисполнения Поселением, вытекающих из настоящего Соглашения обязательств по обеспечению материальными и финансовыми ресурсами  переданных полномочий, Муниципальный район вправе требовать расторжения данного Соглашения, уплаты неустойки в размере ___% от расчетной суммы иных межбюджетных трансфертов за отчетный год, а также возмещения понесенных убытков в части, не покрытой неустойкой.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 СРОК ДЕЙСТВИЯ, ОСНОВАНИЯ И ПОРЯДОК ПРЕКРАЩЕНИЯ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ДЕЙСТВИЯ СОГЛАШЕНИЯ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5.1. Настоящее Соглашение вступает в силу с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________ 20__ г.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5.2. Срок действия настоящего Соглашения устанавливается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_______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5.3. Действие настоящего Соглашения может быть прекращено досрочно: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5.3.1. По соглашению Сторон.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5.3.2. В одностороннем порядке в случае: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быть наиболее эффективно осуществляться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Поселением самостоятельно.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5.4. Уведомление о расторжении настоящего Соглашения в одностороннем порядке направляется второй стороне не менее чем за _____ (указать срок 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уведомления), при этом второй стороне возмещаются все убытки, связанные с досрочным расторжением соглашения.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 ЗАКЛЮЧИТЕЛЬНЫЕ ПОЛОЖЕНИЯ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7. РЕКВИЗИТЫ И ПОДПИСИ СТОРОН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Поселение:                                                    Муниципальный район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Глава _____________________                </w:t>
      </w:r>
      <w:proofErr w:type="spellStart"/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proofErr w:type="spellEnd"/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района___________________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              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______________/_______________          _________________/______________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(расшифровка подписи)   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>подпись)              (расшифровка подписи)</w:t>
      </w:r>
    </w:p>
    <w:p w:rsidR="00DC2F0A" w:rsidRPr="00B57C6D" w:rsidRDefault="00DC2F0A" w:rsidP="008B72F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2F0A" w:rsidRPr="00B57C6D" w:rsidRDefault="00DC2F0A" w:rsidP="008B72F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2F0A" w:rsidRPr="00B57C6D" w:rsidRDefault="00DC2F0A" w:rsidP="008B72F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2F0A" w:rsidRPr="00B57C6D" w:rsidRDefault="00DC2F0A" w:rsidP="008B72F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Приложение  3</w:t>
      </w:r>
    </w:p>
    <w:p w:rsidR="008B72F6" w:rsidRPr="00B57C6D" w:rsidRDefault="008B72F6" w:rsidP="008B72F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к Порядку заключения Соглашений о передаче/принятии осуществления части полномочий по решению вопросов местного значения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МЕТОДИКА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РАСЧЕТА ОБЪЕМА  ИНЫХ МЕЖБЮДЖЕТНЫХ ТРАНСФЕРТОВ НА ОСУЩЕСТВЛЕНИЕ ЧАСТИ ПОЛНОМОЧИЙ  ПО РЕШЕНИЮ ВОПРОСОВ МЕСТНОГО ЗНАЧЕНИЯ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1. Расчет объема  иных межбюджетных трансфертов определяется следующим образом: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  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>=  F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/H x B+T+P ,   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где</w:t>
      </w:r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      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S -объем иных 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межбюджетных трансфертов муниципальному образованию 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на осуществление полномочий;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F -расх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оды на выплату заработной платы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и расходы, связанные  с начислениями на выплаты по оплате труда работников, исполняющих переданные полномочия;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норма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часов рабочего времени в планируемом году;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В - величина трудозатрат в год, устанавливается аналитическим путем с учетом необходимого времени для выполнения   переданных полномочий</w:t>
      </w:r>
      <w:proofErr w:type="gramEnd"/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расходы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на коммунальные услуги;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прочие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расходы, за исключением расходов на оплату труда и коммунальные услуги.</w:t>
      </w:r>
    </w:p>
    <w:p w:rsidR="008B72F6" w:rsidRPr="00B57C6D" w:rsidRDefault="008B72F6" w:rsidP="008B72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Расходы на  выплату заработной платы определяются на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основании действующего на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момент передачи полно</w:t>
      </w:r>
      <w:r w:rsidR="00DC2F0A" w:rsidRPr="00B57C6D">
        <w:rPr>
          <w:rFonts w:ascii="Arial" w:eastAsia="Times New Roman" w:hAnsi="Arial" w:cs="Arial"/>
          <w:sz w:val="24"/>
          <w:szCs w:val="24"/>
          <w:lang w:eastAsia="ru-RU"/>
        </w:rPr>
        <w:t>мочий штатного расписания, по работникам, исполняющим данные полномочия. При этом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proofErr w:type="spellStart"/>
      <w:r w:rsidR="00DC2F0A" w:rsidRPr="00B57C6D">
        <w:rPr>
          <w:rFonts w:ascii="Arial" w:eastAsia="Times New Roman" w:hAnsi="Arial" w:cs="Arial"/>
          <w:sz w:val="24"/>
          <w:szCs w:val="24"/>
          <w:lang w:val="x-none" w:eastAsia="x-none"/>
        </w:rPr>
        <w:t>аработная</w:t>
      </w:r>
      <w:proofErr w:type="spellEnd"/>
      <w:r w:rsidRPr="00B57C6D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DC2F0A" w:rsidRPr="00B57C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плата </w:t>
      </w:r>
      <w:r w:rsidRPr="00B57C6D">
        <w:rPr>
          <w:rFonts w:ascii="Arial" w:eastAsia="Times New Roman" w:hAnsi="Arial" w:cs="Arial"/>
          <w:sz w:val="24"/>
          <w:szCs w:val="24"/>
          <w:lang w:val="x-none" w:eastAsia="x-none"/>
        </w:rPr>
        <w:t>работник</w:t>
      </w:r>
      <w:r w:rsidRPr="00B57C6D">
        <w:rPr>
          <w:rFonts w:ascii="Arial" w:eastAsia="Times New Roman" w:hAnsi="Arial" w:cs="Arial"/>
          <w:sz w:val="24"/>
          <w:szCs w:val="24"/>
          <w:lang w:eastAsia="x-none"/>
        </w:rPr>
        <w:t>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</w:t>
      </w:r>
      <w:r w:rsidRPr="00B57C6D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57C6D">
        <w:rPr>
          <w:rFonts w:ascii="Arial" w:eastAsia="Times New Roman" w:hAnsi="Arial" w:cs="Arial"/>
          <w:sz w:val="24"/>
          <w:szCs w:val="24"/>
          <w:lang w:eastAsia="ru-RU"/>
        </w:rPr>
        <w:t>Расходы, связанные с начислениями  на выплаты по оплате труда работников, исполняющим переданные полномочия, учитываются в объеме средств, направляемых  на выплаты по страховым взносам на обязательное социальное страхование по работникам, исполняющим переданные полномочия.</w:t>
      </w:r>
      <w:proofErr w:type="gramEnd"/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Данный объем средств </w:t>
      </w:r>
      <w:r w:rsidRPr="00B57C6D">
        <w:rPr>
          <w:rFonts w:ascii="Arial" w:eastAsia="Times New Roman" w:hAnsi="Arial" w:cs="Arial"/>
          <w:sz w:val="24"/>
          <w:szCs w:val="24"/>
          <w:lang w:eastAsia="x-none"/>
        </w:rPr>
        <w:t>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4.Численность работников, исполняющих переданные полномочия, определяется исходя из объема выполняемых работ. 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5. Расходы на оплату коммунальных услуг определяются  исходя из фактических расходов за аналогичный период года, предшествующего году заключения Соглашения  с учетом индексации данных расходов  на индекс-дефлятор, определенный в основных подходах  к формированию бюджета в Красноярском крае, и присоединенной мощности в помещениях, площадей, занимаемых работниками, исполняющими переданные полномочия (учитывая места общего пользования). </w:t>
      </w:r>
    </w:p>
    <w:p w:rsidR="008B72F6" w:rsidRPr="00B57C6D" w:rsidRDefault="00DC2F0A" w:rsidP="00DC2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Прочие расходы определяются  исходя из фактических расходов (за исключе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нием расходов по оплате труда, 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>расходов на коммунальные услуги), связанных с осуществлением переданных полномочий, за аналогичный период года, предшествующего го</w:t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>ду заключения Соглашения</w:t>
      </w:r>
      <w:r w:rsidR="008B72F6" w:rsidRPr="00B57C6D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индексации данных расходов  на индекс-дефлятор, определенный в основных подходах к формированию бюджета в Красноярском крае.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7. Расчет объема  иных межбюджетных трансфертов производится по выбранному сторонами варианту,  который оговаривается в Соглашении.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ВОЗМОЖНЫЕ ВАРИАНТЫ РАСЧЕТА ИНЫХ МЕЖБЮДЖЕТНЫХ ТРАНСФЕРТОВ</w:t>
      </w: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72"/>
        <w:gridCol w:w="3191"/>
      </w:tblGrid>
      <w:tr w:rsidR="000B0EB8" w:rsidRPr="00B57C6D" w:rsidTr="00EF66F2">
        <w:tc>
          <w:tcPr>
            <w:tcW w:w="1908" w:type="dxa"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3191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в принимаемых полномочиях</w:t>
            </w:r>
          </w:p>
        </w:tc>
      </w:tr>
      <w:tr w:rsidR="000B0EB8" w:rsidRPr="00B57C6D" w:rsidTr="00EF66F2">
        <w:tc>
          <w:tcPr>
            <w:tcW w:w="1908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472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191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0B0EB8" w:rsidRPr="00B57C6D" w:rsidTr="00EF66F2">
        <w:tc>
          <w:tcPr>
            <w:tcW w:w="1908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4472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расходы</w:t>
            </w:r>
          </w:p>
        </w:tc>
        <w:tc>
          <w:tcPr>
            <w:tcW w:w="3191" w:type="dxa"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0B0EB8" w:rsidRPr="00B57C6D" w:rsidTr="00EF66F2">
        <w:tc>
          <w:tcPr>
            <w:tcW w:w="1908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4472" w:type="dxa"/>
            <w:hideMark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191" w:type="dxa"/>
          </w:tcPr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7C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72F6" w:rsidRPr="00B57C6D" w:rsidRDefault="008B72F6" w:rsidP="008B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72F6" w:rsidRPr="00B57C6D" w:rsidRDefault="008B72F6" w:rsidP="008B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>8. Расчет осуществляется  в валюте Российской Федерации с одним десятичным знаком после запятой.</w:t>
      </w:r>
    </w:p>
    <w:p w:rsidR="008B72F6" w:rsidRPr="00B57C6D" w:rsidRDefault="008B72F6" w:rsidP="008B72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C6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72F6" w:rsidRPr="00B57C6D" w:rsidRDefault="008B72F6" w:rsidP="008B72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F6" w:rsidRPr="00B57C6D" w:rsidRDefault="008B72F6" w:rsidP="008B72F6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909" w:rsidRPr="00B57C6D" w:rsidRDefault="00286909" w:rsidP="008B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86909" w:rsidRPr="00B5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259"/>
    <w:multiLevelType w:val="multilevel"/>
    <w:tmpl w:val="19427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44E6"/>
    <w:multiLevelType w:val="multilevel"/>
    <w:tmpl w:val="C732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27A12"/>
    <w:multiLevelType w:val="multilevel"/>
    <w:tmpl w:val="9C840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D24B9"/>
    <w:multiLevelType w:val="multilevel"/>
    <w:tmpl w:val="FCBAF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12CEF"/>
    <w:multiLevelType w:val="multilevel"/>
    <w:tmpl w:val="2DA21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B64D6"/>
    <w:multiLevelType w:val="multilevel"/>
    <w:tmpl w:val="5338E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A6E93"/>
    <w:multiLevelType w:val="multilevel"/>
    <w:tmpl w:val="87E60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956E7"/>
    <w:multiLevelType w:val="multilevel"/>
    <w:tmpl w:val="3134F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F4F36"/>
    <w:multiLevelType w:val="multilevel"/>
    <w:tmpl w:val="337C7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D128B"/>
    <w:multiLevelType w:val="hybridMultilevel"/>
    <w:tmpl w:val="8C9824F8"/>
    <w:lvl w:ilvl="0" w:tplc="A03E16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CF21A6"/>
    <w:multiLevelType w:val="multilevel"/>
    <w:tmpl w:val="3AC04B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A53C0"/>
    <w:multiLevelType w:val="multilevel"/>
    <w:tmpl w:val="6ED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F7CED"/>
    <w:multiLevelType w:val="multilevel"/>
    <w:tmpl w:val="BAC6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D4A61"/>
    <w:multiLevelType w:val="multilevel"/>
    <w:tmpl w:val="83944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90A7C"/>
    <w:multiLevelType w:val="multilevel"/>
    <w:tmpl w:val="C2F83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B0EB8"/>
    <w:rsid w:val="00104E07"/>
    <w:rsid w:val="00180908"/>
    <w:rsid w:val="001B61F0"/>
    <w:rsid w:val="001F14F4"/>
    <w:rsid w:val="00286909"/>
    <w:rsid w:val="00467CC1"/>
    <w:rsid w:val="00556D53"/>
    <w:rsid w:val="005A6068"/>
    <w:rsid w:val="0069098A"/>
    <w:rsid w:val="008B72F6"/>
    <w:rsid w:val="009C1A61"/>
    <w:rsid w:val="009C7F41"/>
    <w:rsid w:val="00AD6BF1"/>
    <w:rsid w:val="00B57C6D"/>
    <w:rsid w:val="00BC30D6"/>
    <w:rsid w:val="00CE5D42"/>
    <w:rsid w:val="00D47C3D"/>
    <w:rsid w:val="00DC2F0A"/>
    <w:rsid w:val="00E542FD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0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726CFC5-591B-4AD7-84F7-5B2F642C5535" TargetMode="External"/><Relationship Id="rId13" Type="http://schemas.openxmlformats.org/officeDocument/2006/relationships/hyperlink" Target="http://pravo-search.minjust.ru:8080/bigs/port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http://pravo-search.minjust.ru:8080/bigs/showDocument.html?id=8F21B21C-A408-42C4-B9FE-A939B863C84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porta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portal.html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Relationship Id="rId14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2021-02-19T06:44:00Z</cp:lastPrinted>
  <dcterms:created xsi:type="dcterms:W3CDTF">2021-02-18T09:31:00Z</dcterms:created>
  <dcterms:modified xsi:type="dcterms:W3CDTF">2021-03-01T07:36:00Z</dcterms:modified>
</cp:coreProperties>
</file>